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C5D8" w14:textId="42A25957" w:rsidR="00EF67C8" w:rsidRPr="00A26C7E" w:rsidRDefault="00EF67C8" w:rsidP="00507DF5">
      <w:pPr>
        <w:ind w:firstLine="709"/>
        <w:jc w:val="center"/>
        <w:rPr>
          <w:rFonts w:eastAsia="Segoe UI"/>
          <w:sz w:val="28"/>
          <w:szCs w:val="28"/>
          <w:lang w:eastAsia="ar-SA"/>
        </w:rPr>
      </w:pPr>
      <w:r w:rsidRPr="00A26C7E">
        <w:rPr>
          <w:bCs/>
          <w:sz w:val="28"/>
          <w:szCs w:val="28"/>
        </w:rPr>
        <w:t xml:space="preserve">Информация по результатам </w:t>
      </w:r>
      <w:r w:rsidR="00086472">
        <w:rPr>
          <w:bCs/>
          <w:sz w:val="28"/>
          <w:szCs w:val="28"/>
        </w:rPr>
        <w:t>контрольного</w:t>
      </w:r>
      <w:r w:rsidRPr="00A26C7E">
        <w:rPr>
          <w:bCs/>
          <w:sz w:val="28"/>
          <w:szCs w:val="28"/>
        </w:rPr>
        <w:t xml:space="preserve"> мероприятия </w:t>
      </w:r>
      <w:r w:rsidRPr="00A26C7E">
        <w:rPr>
          <w:rFonts w:eastAsia="Segoe UI"/>
          <w:sz w:val="28"/>
          <w:szCs w:val="28"/>
        </w:rPr>
        <w:t>«</w:t>
      </w:r>
      <w:r w:rsidRPr="00A26C7E">
        <w:rPr>
          <w:rFonts w:eastAsia="Segoe UI"/>
          <w:sz w:val="28"/>
          <w:szCs w:val="28"/>
          <w:lang w:eastAsia="ar-SA"/>
        </w:rPr>
        <w:t xml:space="preserve">Анализ предоставления и целевого использования субвенций </w:t>
      </w:r>
      <w:r w:rsidRPr="00A26C7E">
        <w:rPr>
          <w:rFonts w:eastAsia="Segoe UI"/>
          <w:sz w:val="28"/>
          <w:szCs w:val="28"/>
          <w:lang w:eastAsia="ar-SA"/>
        </w:rPr>
        <w:br/>
        <w:t xml:space="preserve">на финансовое обеспечение государственных гарантий реализации прав </w:t>
      </w:r>
      <w:r w:rsidRPr="00A26C7E">
        <w:rPr>
          <w:rFonts w:eastAsia="Segoe UI"/>
          <w:sz w:val="28"/>
          <w:szCs w:val="28"/>
          <w:lang w:eastAsia="ar-SA"/>
        </w:rPr>
        <w:br/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организациях».</w:t>
      </w:r>
    </w:p>
    <w:p w14:paraId="4234E962" w14:textId="77777777" w:rsidR="00E11A89" w:rsidRPr="00A26C7E" w:rsidRDefault="00E11A89" w:rsidP="00E11A89">
      <w:pPr>
        <w:spacing w:line="276" w:lineRule="auto"/>
        <w:ind w:firstLine="709"/>
        <w:jc w:val="center"/>
        <w:rPr>
          <w:sz w:val="28"/>
          <w:szCs w:val="28"/>
        </w:rPr>
      </w:pPr>
    </w:p>
    <w:p w14:paraId="4B57E7E5" w14:textId="77777777" w:rsidR="00EF67C8" w:rsidRPr="00A26C7E" w:rsidRDefault="00E711CA" w:rsidP="00EF67C8">
      <w:pPr>
        <w:tabs>
          <w:tab w:val="left" w:pos="567"/>
        </w:tabs>
        <w:suppressAutoHyphens/>
        <w:autoSpaceDN w:val="0"/>
        <w:ind w:firstLine="709"/>
        <w:jc w:val="both"/>
        <w:textAlignment w:val="baseline"/>
        <w:rPr>
          <w:rFonts w:eastAsia="Segoe UI"/>
          <w:sz w:val="28"/>
          <w:szCs w:val="28"/>
          <w:lang w:eastAsia="ar-SA"/>
        </w:rPr>
      </w:pPr>
      <w:r w:rsidRPr="00A26C7E">
        <w:rPr>
          <w:rFonts w:eastAsia="Segoe UI"/>
          <w:sz w:val="28"/>
          <w:szCs w:val="28"/>
        </w:rPr>
        <w:t xml:space="preserve">В соответствии с пунктом </w:t>
      </w:r>
      <w:r w:rsidRPr="00A26C7E">
        <w:rPr>
          <w:bCs/>
          <w:color w:val="000000"/>
          <w:sz w:val="28"/>
          <w:szCs w:val="28"/>
        </w:rPr>
        <w:t xml:space="preserve">2.1.1. </w:t>
      </w:r>
      <w:r w:rsidRPr="00A26C7E">
        <w:rPr>
          <w:bCs/>
          <w:sz w:val="28"/>
          <w:szCs w:val="28"/>
        </w:rPr>
        <w:t xml:space="preserve">Плана деятельности Контрольно-счетной палаты Орловской области на 2024 год </w:t>
      </w:r>
      <w:r w:rsidRPr="00A26C7E">
        <w:rPr>
          <w:rFonts w:eastAsia="Segoe UI"/>
          <w:sz w:val="28"/>
          <w:szCs w:val="28"/>
        </w:rPr>
        <w:t>проведено контрольное мероприятие «</w:t>
      </w:r>
      <w:r w:rsidRPr="00A26C7E">
        <w:rPr>
          <w:rFonts w:eastAsia="Segoe UI"/>
          <w:sz w:val="28"/>
          <w:szCs w:val="28"/>
          <w:lang w:eastAsia="ar-SA"/>
        </w:rPr>
        <w:t xml:space="preserve">Анализ предоставления и целевого использования субвенций </w:t>
      </w:r>
      <w:r w:rsidRPr="00A26C7E">
        <w:rPr>
          <w:rFonts w:eastAsia="Segoe UI"/>
          <w:sz w:val="28"/>
          <w:szCs w:val="28"/>
          <w:lang w:eastAsia="ar-SA"/>
        </w:rPr>
        <w:br/>
        <w:t xml:space="preserve">на финансовое обеспечение государственных гарантий реализации прав </w:t>
      </w:r>
      <w:r w:rsidRPr="00A26C7E">
        <w:rPr>
          <w:rFonts w:eastAsia="Segoe UI"/>
          <w:sz w:val="28"/>
          <w:szCs w:val="28"/>
          <w:lang w:eastAsia="ar-SA"/>
        </w:rPr>
        <w:br/>
        <w:t>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организациях».</w:t>
      </w:r>
    </w:p>
    <w:p w14:paraId="4971BFFE" w14:textId="462C769C" w:rsidR="00E711CA" w:rsidRPr="00A26C7E" w:rsidRDefault="00E711CA" w:rsidP="00E711CA">
      <w:pPr>
        <w:ind w:firstLine="709"/>
        <w:jc w:val="both"/>
        <w:rPr>
          <w:sz w:val="28"/>
          <w:szCs w:val="28"/>
        </w:rPr>
      </w:pPr>
      <w:r w:rsidRPr="00A26C7E">
        <w:rPr>
          <w:sz w:val="28"/>
          <w:szCs w:val="28"/>
        </w:rPr>
        <w:t xml:space="preserve">По результатам контрольного мероприятия установлены отдельные недостатки в деятельности Департамента образования Орловской области, </w:t>
      </w:r>
      <w:r w:rsidRPr="00A26C7E">
        <w:rPr>
          <w:sz w:val="28"/>
          <w:szCs w:val="28"/>
        </w:rPr>
        <w:br/>
        <w:t>а также ряд нарушений при использовании Субвенции образовательными организациями</w:t>
      </w:r>
      <w:r w:rsidRPr="00A26C7E">
        <w:rPr>
          <w:rFonts w:eastAsiaTheme="minorHAnsi"/>
          <w:sz w:val="28"/>
          <w:szCs w:val="28"/>
          <w:lang w:eastAsia="en-US"/>
        </w:rPr>
        <w:t>.</w:t>
      </w:r>
    </w:p>
    <w:p w14:paraId="2BDF3FED" w14:textId="0D62925A" w:rsidR="00E711CA" w:rsidRPr="00A26C7E" w:rsidRDefault="00E711CA" w:rsidP="00E711CA">
      <w:pPr>
        <w:spacing w:after="13"/>
        <w:ind w:left="-15" w:firstLine="557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</w:rPr>
      </w:pPr>
      <w:r w:rsidRPr="00A26C7E">
        <w:rPr>
          <w:rFonts w:eastAsiaTheme="minorHAnsi"/>
          <w:sz w:val="28"/>
          <w:szCs w:val="28"/>
          <w:lang w:eastAsia="en-US"/>
        </w:rPr>
        <w:t xml:space="preserve"> В нарушение части 4 статьи 99 </w:t>
      </w:r>
      <w:r w:rsidRPr="00A26C7E">
        <w:rPr>
          <w:sz w:val="28"/>
          <w:szCs w:val="28"/>
        </w:rPr>
        <w:t xml:space="preserve">Федерального закона </w:t>
      </w:r>
      <w:r w:rsidRPr="00A26C7E">
        <w:rPr>
          <w:sz w:val="28"/>
          <w:szCs w:val="28"/>
        </w:rPr>
        <w:br/>
        <w:t xml:space="preserve">от 29 декабря 2012 года № 273-ФЗ «Об образовании в Российской Федерации» </w:t>
      </w:r>
      <w:r w:rsidRPr="00A26C7E">
        <w:rPr>
          <w:rFonts w:eastAsiaTheme="minorHAnsi"/>
          <w:sz w:val="28"/>
          <w:szCs w:val="28"/>
          <w:lang w:eastAsia="en-US"/>
        </w:rPr>
        <w:t>на региональном уровне не разработан порядок расчета финансового обеспечения затрат при организации</w:t>
      </w:r>
      <w:r w:rsidR="00E8386F" w:rsidRPr="00A26C7E">
        <w:rPr>
          <w:rFonts w:eastAsiaTheme="minorHAnsi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sz w:val="28"/>
          <w:szCs w:val="28"/>
          <w:lang w:eastAsia="en-US"/>
        </w:rPr>
        <w:t>образовательной</w:t>
      </w:r>
      <w:r w:rsidR="00E8386F" w:rsidRPr="00A26C7E">
        <w:rPr>
          <w:rFonts w:eastAsiaTheme="minorHAnsi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sz w:val="28"/>
          <w:szCs w:val="28"/>
          <w:lang w:eastAsia="en-US"/>
        </w:rPr>
        <w:t xml:space="preserve">деятельности в малокомплектных организациях. </w:t>
      </w:r>
    </w:p>
    <w:p w14:paraId="2EA439F8" w14:textId="1DA00B85" w:rsidR="00E711CA" w:rsidRPr="00A26C7E" w:rsidRDefault="00E711CA" w:rsidP="00E711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kern w:val="2"/>
          <w:sz w:val="28"/>
          <w:szCs w:val="28"/>
        </w:rPr>
      </w:pPr>
      <w:r w:rsidRPr="00A26C7E">
        <w:rPr>
          <w:sz w:val="28"/>
          <w:szCs w:val="28"/>
        </w:rPr>
        <w:t xml:space="preserve"> Анализ финансирования реализации основных общеобразовательных программ в части расходов на учебные, учебно-наглядные пособия, технические средства обучения, игры, игрушки, расходные материалы, согласно нормативам, утвержденным в </w:t>
      </w:r>
      <w:r w:rsidRPr="00A26C7E">
        <w:rPr>
          <w:color w:val="000000"/>
          <w:sz w:val="28"/>
          <w:szCs w:val="28"/>
        </w:rPr>
        <w:t xml:space="preserve">соответствии с Законом Орловской области от 25 декабря 2013 года № 1587-ОЗ «О порядке определения нормативов финансирования реализации основных общеобразовательных программ муниципальными образовательными организациями», </w:t>
      </w:r>
      <w:r w:rsidRPr="00A26C7E">
        <w:rPr>
          <w:sz w:val="28"/>
          <w:szCs w:val="28"/>
        </w:rPr>
        <w:t xml:space="preserve">показал </w:t>
      </w:r>
      <w:r w:rsidRPr="00A26C7E">
        <w:rPr>
          <w:color w:val="000000"/>
          <w:kern w:val="2"/>
          <w:sz w:val="28"/>
          <w:szCs w:val="28"/>
        </w:rPr>
        <w:t xml:space="preserve">недостаточность предусмотренных средств </w:t>
      </w:r>
      <w:r w:rsidRPr="00A26C7E">
        <w:rPr>
          <w:color w:val="000000"/>
          <w:sz w:val="28"/>
          <w:szCs w:val="28"/>
        </w:rPr>
        <w:t>образовательным организациям</w:t>
      </w:r>
      <w:r w:rsidRPr="00A26C7E">
        <w:rPr>
          <w:color w:val="000000"/>
          <w:kern w:val="2"/>
          <w:sz w:val="28"/>
          <w:szCs w:val="28"/>
        </w:rPr>
        <w:t xml:space="preserve"> на приобретение технических средств обучения, игр, игрушек, расходных материалов. </w:t>
      </w:r>
    </w:p>
    <w:p w14:paraId="6D50B4E2" w14:textId="4F921323" w:rsidR="00E711CA" w:rsidRPr="00A26C7E" w:rsidRDefault="00E711CA" w:rsidP="00E711CA">
      <w:pPr>
        <w:ind w:firstLine="709"/>
        <w:jc w:val="both"/>
        <w:rPr>
          <w:sz w:val="28"/>
          <w:szCs w:val="28"/>
        </w:rPr>
      </w:pP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В нарушение части 5 статьи 86, статьи 136 Бюджетного кодекса РФ, согласно которым органы местного самоуправления не вправе устанавливать и исполнять расходные обязательства, связанные с решением вопросов, отнесенных к компетенции органов государственной власти субъектов Российской Федерации, за счет средств местного бюджета</w:t>
      </w:r>
      <w:r w:rsidRPr="00A26C7E">
        <w:rPr>
          <w:rFonts w:eastAsiaTheme="minorEastAsia"/>
          <w:sz w:val="28"/>
          <w:szCs w:val="28"/>
        </w:rPr>
        <w:t xml:space="preserve"> </w:t>
      </w: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 xml:space="preserve">производились </w:t>
      </w:r>
      <w:r w:rsidRPr="00A26C7E">
        <w:rPr>
          <w:color w:val="000000"/>
          <w:sz w:val="28"/>
          <w:szCs w:val="28"/>
        </w:rPr>
        <w:t xml:space="preserve">расходы </w:t>
      </w: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 xml:space="preserve">на оплату труда </w:t>
      </w:r>
      <w:r w:rsidRPr="00A26C7E">
        <w:rPr>
          <w:color w:val="000000"/>
          <w:sz w:val="28"/>
          <w:szCs w:val="28"/>
        </w:rPr>
        <w:t>административного персонала, участвующего  в </w:t>
      </w:r>
      <w:r w:rsidRPr="00A26C7E">
        <w:rPr>
          <w:rFonts w:eastAsiaTheme="minorHAnsi"/>
          <w:color w:val="000000"/>
          <w:kern w:val="2"/>
          <w:sz w:val="28"/>
          <w:szCs w:val="28"/>
          <w:shd w:val="clear" w:color="auto" w:fill="FFFFFF"/>
          <w:lang w:eastAsia="en-US"/>
        </w:rPr>
        <w:t xml:space="preserve">обеспечении организации образовательного процесса </w:t>
      </w:r>
      <w:r w:rsidRPr="00A26C7E">
        <w:rPr>
          <w:sz w:val="28"/>
          <w:szCs w:val="28"/>
        </w:rPr>
        <w:t>в соответствии с федеральными образовательными стандартами.</w:t>
      </w:r>
    </w:p>
    <w:p w14:paraId="4C38417B" w14:textId="62543255" w:rsidR="00E711CA" w:rsidRPr="00A26C7E" w:rsidRDefault="00E711CA" w:rsidP="00E711CA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При наличии в 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отдельных образовательных учреждениях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классов-комплектов, утвержденных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приказом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директора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и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отраженных в статистическом отчете учреждения формы ОО-1, оплата труда педагогическим работникам классов-комплектов осуществлялась не за класс-комплект, а </w:t>
      </w:r>
      <w:r w:rsidRPr="00A26C7E"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отдельно по каждому классу, что привело к искажению статистической отчетности. </w:t>
      </w:r>
    </w:p>
    <w:p w14:paraId="2534DD6F" w14:textId="531BD134" w:rsidR="00E711CA" w:rsidRPr="00A26C7E" w:rsidRDefault="00E711CA" w:rsidP="00E711CA">
      <w:pPr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В нарушение пункта 21 Порядка организации и осуществления образовательной деятельности</w:t>
      </w:r>
      <w:r w:rsidRPr="00A26C7E">
        <w:rPr>
          <w:rFonts w:eastAsiaTheme="minorHAnsi"/>
          <w:kern w:val="2"/>
          <w:sz w:val="28"/>
          <w:szCs w:val="28"/>
          <w:vertAlign w:val="superscript"/>
          <w:lang w:eastAsia="en-US"/>
        </w:rPr>
        <w:footnoteReference w:id="1"/>
      </w: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, согласно которому допускается объединение в группы обучающихся из нескольких классов по образовательным программам начального общего образования, МБОУ </w:t>
      </w:r>
      <w:r w:rsidRPr="00A26C7E">
        <w:rPr>
          <w:kern w:val="2"/>
          <w:sz w:val="28"/>
          <w:szCs w:val="28"/>
        </w:rPr>
        <w:t xml:space="preserve">КР ОО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«</w:t>
      </w:r>
      <w:proofErr w:type="spellStart"/>
      <w:r w:rsidRPr="00A26C7E">
        <w:rPr>
          <w:rFonts w:eastAsiaTheme="minorHAnsi"/>
          <w:kern w:val="2"/>
          <w:sz w:val="28"/>
          <w:szCs w:val="28"/>
          <w:lang w:eastAsia="en-US"/>
        </w:rPr>
        <w:t>Кутафинская</w:t>
      </w:r>
      <w:proofErr w:type="spellEnd"/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СОШ» произведено объединение в классы-комплекты лиц, обучающихся  по образовательным программам основного общего и среднего общего образования. </w:t>
      </w:r>
    </w:p>
    <w:p w14:paraId="781FA551" w14:textId="1A626F6C" w:rsidR="00E711CA" w:rsidRPr="00A26C7E" w:rsidRDefault="00D170F6" w:rsidP="00D170F6">
      <w:pPr>
        <w:jc w:val="both"/>
        <w:rPr>
          <w:kern w:val="2"/>
          <w:sz w:val="28"/>
          <w:szCs w:val="28"/>
        </w:rPr>
      </w:pP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       </w:t>
      </w:r>
      <w:r w:rsidR="00E711CA" w:rsidRPr="00A26C7E">
        <w:rPr>
          <w:rFonts w:eastAsiaTheme="minorHAnsi"/>
          <w:kern w:val="2"/>
          <w:sz w:val="28"/>
          <w:szCs w:val="28"/>
          <w:lang w:eastAsia="en-US"/>
        </w:rPr>
        <w:t xml:space="preserve"> В нарушение статьи 144 Трудового кодекса РФ, согласно которой нормативные правовые акты органов местного самоуправления являются основанием для установления системы оплаты труда работников муниципальных учреждений, </w:t>
      </w:r>
      <w:r w:rsidR="00E711CA" w:rsidRPr="00A26C7E">
        <w:rPr>
          <w:kern w:val="2"/>
          <w:sz w:val="28"/>
          <w:szCs w:val="28"/>
        </w:rPr>
        <w:t xml:space="preserve">действующие разработанные органом местного самоуправления </w:t>
      </w:r>
      <w:r w:rsidRPr="00A26C7E">
        <w:rPr>
          <w:kern w:val="2"/>
          <w:sz w:val="28"/>
          <w:szCs w:val="28"/>
        </w:rPr>
        <w:t xml:space="preserve">и образовательных учреждений </w:t>
      </w:r>
      <w:r w:rsidR="00E711CA" w:rsidRPr="00A26C7E">
        <w:rPr>
          <w:kern w:val="2"/>
          <w:sz w:val="28"/>
          <w:szCs w:val="28"/>
        </w:rPr>
        <w:t xml:space="preserve">правовые акты </w:t>
      </w:r>
      <w:r w:rsidR="00E711CA" w:rsidRPr="00A26C7E">
        <w:rPr>
          <w:rFonts w:eastAsiaTheme="minorHAnsi"/>
          <w:kern w:val="2"/>
          <w:sz w:val="28"/>
          <w:szCs w:val="28"/>
          <w:lang w:eastAsia="en-US"/>
        </w:rPr>
        <w:t xml:space="preserve">содержат широкие пределы формирования оснований для установлений выплат, что </w:t>
      </w:r>
      <w:r w:rsidR="00E711CA" w:rsidRPr="00A26C7E">
        <w:rPr>
          <w:rFonts w:eastAsiaTheme="minorHAnsi"/>
          <w:sz w:val="28"/>
          <w:szCs w:val="28"/>
          <w:lang w:eastAsia="en-US"/>
        </w:rPr>
        <w:t xml:space="preserve">создает правовую неопределенность расширенного толкования правового акта, </w:t>
      </w:r>
      <w:r w:rsidR="00E711CA" w:rsidRPr="00A26C7E">
        <w:rPr>
          <w:kern w:val="2"/>
          <w:sz w:val="28"/>
          <w:szCs w:val="28"/>
        </w:rPr>
        <w:t xml:space="preserve">влекущую  неэффективное использование </w:t>
      </w:r>
      <w:r w:rsidR="00E711CA" w:rsidRPr="00A26C7E">
        <w:rPr>
          <w:sz w:val="28"/>
          <w:szCs w:val="28"/>
          <w:lang w:eastAsia="en-US"/>
        </w:rPr>
        <w:t xml:space="preserve">субвенции </w:t>
      </w:r>
      <w:r w:rsidR="00E711CA" w:rsidRPr="00A26C7E">
        <w:rPr>
          <w:rFonts w:eastAsia="Segoe UI"/>
          <w:sz w:val="28"/>
          <w:szCs w:val="28"/>
          <w:lang w:eastAsia="ar-SA"/>
        </w:rPr>
        <w:t>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</w:r>
      <w:r w:rsidR="00825D84">
        <w:rPr>
          <w:rFonts w:eastAsia="Segoe UI"/>
          <w:sz w:val="28"/>
          <w:szCs w:val="28"/>
          <w:lang w:eastAsia="ar-SA"/>
        </w:rPr>
        <w:t xml:space="preserve"> </w:t>
      </w:r>
      <w:r w:rsidR="00E711CA" w:rsidRPr="00A26C7E">
        <w:rPr>
          <w:rFonts w:eastAsia="Segoe UI"/>
          <w:sz w:val="28"/>
          <w:szCs w:val="28"/>
          <w:lang w:eastAsia="ar-SA"/>
        </w:rPr>
        <w:t>в муниципальных общеобразовательных организациях</w:t>
      </w:r>
      <w:r w:rsidR="00E711CA" w:rsidRPr="00A26C7E">
        <w:rPr>
          <w:kern w:val="2"/>
          <w:sz w:val="28"/>
          <w:szCs w:val="28"/>
        </w:rPr>
        <w:t xml:space="preserve">. </w:t>
      </w:r>
    </w:p>
    <w:p w14:paraId="711604E4" w14:textId="456E27FD" w:rsidR="00E711CA" w:rsidRPr="00A26C7E" w:rsidRDefault="00E711CA" w:rsidP="00E711CA">
      <w:pPr>
        <w:spacing w:after="4"/>
        <w:ind w:firstLine="709"/>
        <w:jc w:val="both"/>
        <w:rPr>
          <w:color w:val="000000"/>
          <w:kern w:val="2"/>
          <w:sz w:val="28"/>
          <w:szCs w:val="28"/>
        </w:rPr>
      </w:pPr>
      <w:r w:rsidRPr="00A26C7E">
        <w:rPr>
          <w:kern w:val="2"/>
          <w:sz w:val="28"/>
          <w:szCs w:val="28"/>
          <w:lang w:eastAsia="en-US"/>
        </w:rPr>
        <w:t>В нарушение статьи 135 Трудового кодекса РФ,</w:t>
      </w:r>
      <w:r w:rsidRPr="00A26C7E">
        <w:rPr>
          <w:rFonts w:eastAsiaTheme="minorHAnsi"/>
          <w:sz w:val="28"/>
          <w:szCs w:val="28"/>
          <w:lang w:eastAsia="en-US"/>
        </w:rPr>
        <w:t xml:space="preserve"> Положения об оплате труда работников </w:t>
      </w: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МБОУ </w:t>
      </w:r>
      <w:r w:rsidRPr="00A26C7E">
        <w:rPr>
          <w:kern w:val="2"/>
          <w:sz w:val="28"/>
          <w:szCs w:val="28"/>
        </w:rPr>
        <w:t xml:space="preserve">КР ОО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«</w:t>
      </w:r>
      <w:proofErr w:type="spellStart"/>
      <w:r w:rsidRPr="00A26C7E">
        <w:rPr>
          <w:rFonts w:eastAsiaTheme="minorHAnsi"/>
          <w:kern w:val="2"/>
          <w:sz w:val="28"/>
          <w:szCs w:val="28"/>
          <w:lang w:eastAsia="en-US"/>
        </w:rPr>
        <w:t>Кутафинская</w:t>
      </w:r>
      <w:proofErr w:type="spellEnd"/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СОШ»,</w:t>
      </w:r>
      <w:r w:rsidRPr="00A26C7E">
        <w:rPr>
          <w:rFonts w:eastAsiaTheme="minorEastAsia"/>
          <w:sz w:val="28"/>
          <w:szCs w:val="28"/>
        </w:rPr>
        <w:t xml:space="preserve"> МБОУ «Дубовская ООШ»</w:t>
      </w: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sz w:val="28"/>
          <w:szCs w:val="28"/>
          <w:lang w:eastAsia="en-US"/>
        </w:rPr>
        <w:t>за счет средств Субвенции</w:t>
      </w:r>
      <w:r w:rsidR="00D170F6" w:rsidRPr="00A26C7E">
        <w:rPr>
          <w:rFonts w:eastAsiaTheme="minorHAnsi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установлены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доплаты, не относящиеся к обязанностям педагогического персонала,</w:t>
      </w:r>
      <w:r w:rsidR="004318DE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а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также</w:t>
      </w:r>
      <w:r w:rsidR="00D170F6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="Calibri"/>
          <w:sz w:val="28"/>
          <w:szCs w:val="28"/>
          <w:lang w:eastAsia="en-US"/>
        </w:rPr>
        <w:t xml:space="preserve">за работу, непосредственно входящую в круг должностных обязанностей, например, учителю физкультуры </w:t>
      </w:r>
      <w:r w:rsidRPr="00A26C7E">
        <w:rPr>
          <w:color w:val="000000"/>
          <w:kern w:val="2"/>
          <w:sz w:val="28"/>
          <w:szCs w:val="28"/>
        </w:rPr>
        <w:t>за работу спортивного зала и спортивную работу. Расходы на указанные доплаты составили 200,9 тыс. рублей.</w:t>
      </w:r>
    </w:p>
    <w:p w14:paraId="53ECDB9D" w14:textId="32CEAC5F" w:rsidR="00E711CA" w:rsidRPr="00A26C7E" w:rsidRDefault="00E711CA" w:rsidP="00E711CA">
      <w:pPr>
        <w:shd w:val="clear" w:color="auto" w:fill="FFFFFF"/>
        <w:ind w:firstLine="709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>В нарушение статей 282, 284 Трудового кодекса РФ продолжительность работы бухгалтера</w:t>
      </w:r>
      <w:r w:rsidR="007654FE"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>МБОУ</w:t>
      </w:r>
      <w:r w:rsidR="007654FE"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 xml:space="preserve">  </w:t>
      </w:r>
      <w:r w:rsidRPr="00A26C7E">
        <w:rPr>
          <w:rFonts w:eastAsiaTheme="minorHAnsi"/>
          <w:kern w:val="2"/>
          <w:sz w:val="28"/>
          <w:szCs w:val="28"/>
          <w:lang w:eastAsia="en-US"/>
        </w:rPr>
        <w:t>КРОО</w:t>
      </w:r>
      <w:r w:rsidR="007654FE" w:rsidRPr="00A26C7E">
        <w:rPr>
          <w:rFonts w:eastAsiaTheme="minorHAnsi"/>
          <w:kern w:val="2"/>
          <w:sz w:val="28"/>
          <w:szCs w:val="28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>Кутафинская</w:t>
      </w:r>
      <w:proofErr w:type="spellEnd"/>
      <w:r w:rsidR="007654FE"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>СОШ»,</w:t>
      </w:r>
      <w:r w:rsidR="007654FE"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 xml:space="preserve"> </w:t>
      </w:r>
      <w:r w:rsidRPr="00A26C7E">
        <w:rPr>
          <w:sz w:val="28"/>
          <w:szCs w:val="28"/>
        </w:rPr>
        <w:t>одновременно выполняющей работу в трех образовательных</w:t>
      </w:r>
      <w:r w:rsidR="007654FE" w:rsidRPr="00A26C7E">
        <w:rPr>
          <w:sz w:val="28"/>
          <w:szCs w:val="28"/>
        </w:rPr>
        <w:t xml:space="preserve"> </w:t>
      </w:r>
      <w:r w:rsidRPr="00A26C7E">
        <w:rPr>
          <w:sz w:val="28"/>
          <w:szCs w:val="28"/>
        </w:rPr>
        <w:t>учреждениях,</w:t>
      </w:r>
      <w:r w:rsidR="007654FE" w:rsidRPr="00A26C7E">
        <w:rPr>
          <w:sz w:val="28"/>
          <w:szCs w:val="28"/>
        </w:rPr>
        <w:t xml:space="preserve"> </w:t>
      </w:r>
      <w:r w:rsidRPr="00A26C7E">
        <w:rPr>
          <w:rFonts w:eastAsiaTheme="minorHAnsi"/>
          <w:kern w:val="2"/>
          <w:sz w:val="28"/>
          <w:szCs w:val="28"/>
          <w:shd w:val="clear" w:color="auto" w:fill="FFFFFF"/>
          <w:lang w:eastAsia="en-US"/>
        </w:rPr>
        <w:t>с учетом совместительства составляла 2,5 ставки, что превышает месячную норму рабочего времени</w:t>
      </w:r>
      <w:r w:rsidRPr="00A26C7E">
        <w:rPr>
          <w:rFonts w:eastAsiaTheme="minorHAnsi"/>
          <w:kern w:val="2"/>
          <w:sz w:val="28"/>
          <w:szCs w:val="28"/>
          <w:lang w:eastAsia="en-US"/>
        </w:rPr>
        <w:t xml:space="preserve">, установленную для соответствующей категории работников. </w:t>
      </w:r>
    </w:p>
    <w:p w14:paraId="40B204AB" w14:textId="69ECF175" w:rsidR="00E711CA" w:rsidRPr="00A26C7E" w:rsidRDefault="00E711CA" w:rsidP="00E711CA">
      <w:pPr>
        <w:spacing w:after="2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6C7E">
        <w:rPr>
          <w:rFonts w:eastAsiaTheme="minorHAnsi"/>
          <w:sz w:val="28"/>
          <w:szCs w:val="28"/>
          <w:lang w:eastAsia="en-US"/>
        </w:rPr>
        <w:t xml:space="preserve">В нарушение требований статьи 147, части 4 статьи 216 Трудового кодекса РФ в отсутствие результатов проведенной аттестации рабочих мест педагогическим работникам </w:t>
      </w:r>
      <w:r w:rsidR="007654FE" w:rsidRPr="00A26C7E">
        <w:rPr>
          <w:rFonts w:eastAsiaTheme="minorHAnsi"/>
          <w:sz w:val="28"/>
          <w:szCs w:val="28"/>
          <w:lang w:eastAsia="en-US"/>
        </w:rPr>
        <w:t xml:space="preserve">образовательного учреждения </w:t>
      </w:r>
      <w:r w:rsidRPr="00A26C7E">
        <w:rPr>
          <w:rFonts w:eastAsiaTheme="minorHAnsi"/>
          <w:sz w:val="28"/>
          <w:szCs w:val="28"/>
          <w:lang w:eastAsia="en-US"/>
        </w:rPr>
        <w:t xml:space="preserve">установлены компенсационные выплаты за работу во вредных условиях труда. </w:t>
      </w:r>
    </w:p>
    <w:p w14:paraId="0869E233" w14:textId="77777777" w:rsidR="00E711CA" w:rsidRPr="00A26C7E" w:rsidRDefault="00E711CA" w:rsidP="00E711CA">
      <w:pPr>
        <w:ind w:firstLine="709"/>
        <w:jc w:val="both"/>
        <w:rPr>
          <w:kern w:val="2"/>
          <w:sz w:val="28"/>
          <w:szCs w:val="28"/>
          <w14:ligatures w14:val="standardContextual"/>
        </w:rPr>
      </w:pPr>
    </w:p>
    <w:p w14:paraId="77F5EE76" w14:textId="77777777" w:rsidR="00C95602" w:rsidRPr="00A26C7E" w:rsidRDefault="00C95602">
      <w:pPr>
        <w:rPr>
          <w:sz w:val="28"/>
          <w:szCs w:val="28"/>
        </w:rPr>
      </w:pPr>
    </w:p>
    <w:sectPr w:rsidR="00C95602" w:rsidRPr="00A2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BFF7D" w14:textId="77777777" w:rsidR="00C6105C" w:rsidRDefault="00C6105C" w:rsidP="00E711CA">
      <w:r>
        <w:separator/>
      </w:r>
    </w:p>
  </w:endnote>
  <w:endnote w:type="continuationSeparator" w:id="0">
    <w:p w14:paraId="30DCB388" w14:textId="77777777" w:rsidR="00C6105C" w:rsidRDefault="00C6105C" w:rsidP="00E7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9F7E4" w14:textId="77777777" w:rsidR="00C6105C" w:rsidRDefault="00C6105C" w:rsidP="00E711CA">
      <w:r>
        <w:separator/>
      </w:r>
    </w:p>
  </w:footnote>
  <w:footnote w:type="continuationSeparator" w:id="0">
    <w:p w14:paraId="6BD1A20A" w14:textId="77777777" w:rsidR="00C6105C" w:rsidRDefault="00C6105C" w:rsidP="00E711CA">
      <w:r>
        <w:continuationSeparator/>
      </w:r>
    </w:p>
  </w:footnote>
  <w:footnote w:id="1">
    <w:p w14:paraId="3EAAE170" w14:textId="77777777" w:rsidR="00E711CA" w:rsidRPr="00C33A44" w:rsidRDefault="00E711CA" w:rsidP="00E711CA">
      <w:pPr>
        <w:autoSpaceDE w:val="0"/>
        <w:autoSpaceDN w:val="0"/>
        <w:adjustRightInd w:val="0"/>
        <w:jc w:val="both"/>
      </w:pPr>
      <w:r w:rsidRPr="00B747D9">
        <w:rPr>
          <w:rStyle w:val="a3"/>
        </w:rPr>
        <w:footnoteRef/>
      </w:r>
      <w:r w:rsidRPr="00B747D9">
        <w:t xml:space="preserve"> </w:t>
      </w:r>
      <w:r w:rsidRPr="00C33A44">
        <w:t xml:space="preserve">Приказ </w:t>
      </w:r>
      <w:proofErr w:type="spellStart"/>
      <w:r w:rsidRPr="00C33A44">
        <w:t>Минпросвещения</w:t>
      </w:r>
      <w:proofErr w:type="spellEnd"/>
      <w:r w:rsidRPr="00C33A44">
        <w:t xml:space="preserve"> России от 22.03.2021 № 115 «Об утверждении Порядка организации</w:t>
      </w:r>
      <w:r>
        <w:br/>
      </w:r>
      <w:r w:rsidRPr="00C33A44">
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02"/>
    <w:rsid w:val="00086472"/>
    <w:rsid w:val="003E3A13"/>
    <w:rsid w:val="004318DE"/>
    <w:rsid w:val="00507DF5"/>
    <w:rsid w:val="005422F5"/>
    <w:rsid w:val="006D5B99"/>
    <w:rsid w:val="007654FE"/>
    <w:rsid w:val="0080359E"/>
    <w:rsid w:val="00825D84"/>
    <w:rsid w:val="00A26C7E"/>
    <w:rsid w:val="00C6105C"/>
    <w:rsid w:val="00C95602"/>
    <w:rsid w:val="00D170F6"/>
    <w:rsid w:val="00E11A89"/>
    <w:rsid w:val="00E711CA"/>
    <w:rsid w:val="00E8386F"/>
    <w:rsid w:val="00E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2F25"/>
  <w15:chartTrackingRefBased/>
  <w15:docId w15:val="{67D13F57-7FFD-4D11-B647-02CDD82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1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711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dcterms:created xsi:type="dcterms:W3CDTF">2024-11-14T09:51:00Z</dcterms:created>
  <dcterms:modified xsi:type="dcterms:W3CDTF">2024-11-14T09:51:00Z</dcterms:modified>
</cp:coreProperties>
</file>